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1382" w14:textId="77777777" w:rsidR="00D243F4" w:rsidRPr="00217B7C" w:rsidRDefault="00D243F4" w:rsidP="00D243F4">
      <w:pPr>
        <w:shd w:val="clear" w:color="auto" w:fill="0084BD"/>
        <w:spacing w:before="220" w:after="80" w:line="240" w:lineRule="auto"/>
        <w:ind w:right="160"/>
        <w:jc w:val="center"/>
        <w:rPr>
          <w:rFonts w:ascii="Arial" w:eastAsia="Arial" w:hAnsi="Arial" w:cs="Arial"/>
          <w:color w:val="FFFFFF" w:themeColor="background1"/>
          <w:sz w:val="28"/>
          <w:szCs w:val="28"/>
          <w:rtl/>
        </w:rPr>
      </w:pPr>
      <w:r w:rsidRPr="00217B7C">
        <w:rPr>
          <w:rFonts w:ascii="Arial" w:eastAsia="Arial" w:hAnsi="Arial" w:cs="Arial" w:hint="cs"/>
          <w:color w:val="FFFFFF" w:themeColor="background1"/>
          <w:sz w:val="28"/>
          <w:szCs w:val="28"/>
          <w:rtl/>
        </w:rPr>
        <w:t xml:space="preserve">الأسئلة الشائعة </w:t>
      </w:r>
    </w:p>
    <w:p w14:paraId="01767ACF" w14:textId="77777777" w:rsidR="00283274" w:rsidRDefault="00283274" w:rsidP="00283274">
      <w:pPr>
        <w:pStyle w:val="a3"/>
        <w:ind w:left="786"/>
        <w:rPr>
          <w:rFonts w:ascii="Sakkal Majalla" w:hAnsi="Sakkal Majalla" w:cs="Sakkal Majalla"/>
          <w:b/>
          <w:bCs/>
          <w:color w:val="1186AB"/>
          <w:sz w:val="28"/>
          <w:szCs w:val="28"/>
        </w:rPr>
      </w:pPr>
    </w:p>
    <w:p w14:paraId="2F789BCF" w14:textId="181890C4" w:rsidR="00D243F4" w:rsidRPr="00571D05" w:rsidRDefault="00D243F4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b/>
          <w:bCs/>
          <w:color w:val="1186AB"/>
          <w:sz w:val="28"/>
          <w:szCs w:val="28"/>
        </w:rPr>
      </w:pPr>
      <w:r w:rsidRPr="00571D05">
        <w:rPr>
          <w:rFonts w:ascii="Sakkal Majalla" w:hAnsi="Sakkal Majalla" w:cs="Sakkal Majalla" w:hint="cs"/>
          <w:b/>
          <w:bCs/>
          <w:color w:val="1186AB"/>
          <w:sz w:val="28"/>
          <w:szCs w:val="28"/>
          <w:rtl/>
        </w:rPr>
        <w:t>ماهي الضوابط والشروط لصرف بدل التعليم الجامعي؟</w:t>
      </w:r>
    </w:p>
    <w:p w14:paraId="40FE2EF0" w14:textId="536AD538" w:rsidR="00D243F4" w:rsidRPr="00D243F4" w:rsidRDefault="00D243F4" w:rsidP="00D243F4">
      <w:pPr>
        <w:pStyle w:val="a3"/>
        <w:rPr>
          <w:rFonts w:ascii="Sakkal Majalla" w:hAnsi="Sakkal Majalla" w:cs="Sakkal Majalla"/>
          <w:sz w:val="28"/>
          <w:szCs w:val="28"/>
        </w:rPr>
      </w:pPr>
      <w:r w:rsidRPr="00D243F4">
        <w:rPr>
          <w:rFonts w:ascii="Sakkal Majalla" w:hAnsi="Sakkal Majalla" w:cs="Sakkal Majalla" w:hint="cs"/>
          <w:sz w:val="28"/>
          <w:szCs w:val="28"/>
          <w:rtl/>
        </w:rPr>
        <w:t>صدر قرار المجلس الأكاديمي رقم (14/2/47) المتضمن الموافقة على ضوابط تخفيف الأعباء التدريسية لأعضاء هيئة التدريس ومن في حكمهم والتي تم تعميمها على جميع العمادات والكليات بالجامعة.</w:t>
      </w:r>
    </w:p>
    <w:p w14:paraId="725B85C0" w14:textId="41C69A85" w:rsidR="00D243F4" w:rsidRPr="00571D05" w:rsidRDefault="00D243F4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b/>
          <w:bCs/>
          <w:color w:val="1186AB"/>
          <w:sz w:val="28"/>
          <w:szCs w:val="28"/>
        </w:rPr>
      </w:pPr>
      <w:r w:rsidRPr="00571D05">
        <w:rPr>
          <w:rFonts w:ascii="Sakkal Majalla" w:hAnsi="Sakkal Majalla" w:cs="Sakkal Majalla" w:hint="cs"/>
          <w:b/>
          <w:bCs/>
          <w:color w:val="1186AB"/>
          <w:sz w:val="28"/>
          <w:szCs w:val="28"/>
          <w:rtl/>
        </w:rPr>
        <w:t>عند التقديم على بدل التعليم الجامعي لا يمكنن</w:t>
      </w:r>
      <w:r w:rsidRPr="00571D05">
        <w:rPr>
          <w:rFonts w:ascii="Sakkal Majalla" w:hAnsi="Sakkal Majalla" w:cs="Sakkal Majalla" w:hint="eastAsia"/>
          <w:b/>
          <w:bCs/>
          <w:color w:val="1186AB"/>
          <w:sz w:val="28"/>
          <w:szCs w:val="28"/>
          <w:rtl/>
        </w:rPr>
        <w:t>ي</w:t>
      </w:r>
      <w:r w:rsidRPr="00571D05">
        <w:rPr>
          <w:rFonts w:ascii="Sakkal Majalla" w:hAnsi="Sakkal Majalla" w:cs="Sakkal Majalla" w:hint="cs"/>
          <w:b/>
          <w:bCs/>
          <w:color w:val="1186AB"/>
          <w:sz w:val="28"/>
          <w:szCs w:val="28"/>
          <w:rtl/>
        </w:rPr>
        <w:t xml:space="preserve"> ارسال الطلب</w:t>
      </w: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؟</w:t>
      </w:r>
    </w:p>
    <w:p w14:paraId="25D732CE" w14:textId="55C02253" w:rsidR="00A76206" w:rsidRPr="00A76206" w:rsidRDefault="00D243F4" w:rsidP="00A76206">
      <w:pPr>
        <w:pStyle w:val="a3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إذا لم يبلغ النصاب التعليمي في النظام الأكاديمي (</w:t>
      </w:r>
      <w:r>
        <w:rPr>
          <w:rFonts w:ascii="Sakkal Majalla" w:hAnsi="Sakkal Majalla" w:cs="Sakkal Majalla"/>
          <w:sz w:val="28"/>
          <w:szCs w:val="28"/>
        </w:rPr>
        <w:t>(e-register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نصف النصاب للرتبة العلمية الواردة في المادة الأربعون من اللائحة المنظمة لشؤون أعضاء هيئة التدريس السعوديين في الجامعات فلايمكن إرسال الطلب.</w:t>
      </w:r>
    </w:p>
    <w:p w14:paraId="7DD7E756" w14:textId="33DA668A" w:rsidR="00A76206" w:rsidRPr="00A76206" w:rsidRDefault="00A76206" w:rsidP="00A76206">
      <w:pPr>
        <w:pStyle w:val="a3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</w:rPr>
      </w:pPr>
      <w:r w:rsidRPr="00A76206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 xml:space="preserve">هل يمكن تمديد خدمة عضو هيئة التدريس بعد بلوغ السن النظامي </w:t>
      </w:r>
      <w:r w:rsidRPr="00A76206">
        <w:rPr>
          <w:rFonts w:ascii="Sakkal Majalla" w:hAnsi="Sakkal Majalla" w:cs="Sakkal Majalla" w:hint="cs"/>
          <w:b/>
          <w:bCs/>
          <w:color w:val="1186AB"/>
          <w:sz w:val="28"/>
          <w:szCs w:val="28"/>
          <w:rtl/>
        </w:rPr>
        <w:t>للتقاعد؟</w:t>
      </w:r>
      <w:r w:rsidRPr="00A76206">
        <w:rPr>
          <w:rFonts w:ascii="Sakkal Majalla" w:hAnsi="Sakkal Majalla" w:cs="Sakkal Majalla"/>
          <w:sz w:val="28"/>
          <w:szCs w:val="28"/>
        </w:rPr>
        <w:br/>
      </w:r>
      <w:r w:rsidRPr="00A76206">
        <w:rPr>
          <w:rFonts w:ascii="Sakkal Majalla" w:hAnsi="Sakkal Majalla" w:cs="Sakkal Majalla" w:hint="cs"/>
          <w:sz w:val="28"/>
          <w:szCs w:val="28"/>
          <w:rtl/>
        </w:rPr>
        <w:t>نعم،</w:t>
      </w:r>
      <w:r w:rsidRPr="00A76206">
        <w:rPr>
          <w:rFonts w:ascii="Sakkal Majalla" w:hAnsi="Sakkal Majalla" w:cs="Sakkal Majalla"/>
          <w:sz w:val="28"/>
          <w:szCs w:val="28"/>
          <w:rtl/>
        </w:rPr>
        <w:t xml:space="preserve"> يمكن تمديد خدمة عضو هيئة التدريس بعد بلوغ السن </w:t>
      </w:r>
      <w:r w:rsidRPr="00A76206">
        <w:rPr>
          <w:rFonts w:ascii="Sakkal Majalla" w:hAnsi="Sakkal Majalla" w:cs="Sakkal Majalla" w:hint="cs"/>
          <w:sz w:val="28"/>
          <w:szCs w:val="28"/>
          <w:rtl/>
        </w:rPr>
        <w:t>النظامي،</w:t>
      </w:r>
      <w:r w:rsidRPr="00A76206">
        <w:rPr>
          <w:rFonts w:ascii="Sakkal Majalla" w:hAnsi="Sakkal Majalla" w:cs="Sakkal Majalla"/>
          <w:sz w:val="28"/>
          <w:szCs w:val="28"/>
          <w:rtl/>
        </w:rPr>
        <w:t xml:space="preserve"> وذلك في حالات محددة ووفق ضوابط وشروط </w:t>
      </w:r>
      <w:r w:rsidRPr="00A76206">
        <w:rPr>
          <w:rFonts w:ascii="Sakkal Majalla" w:hAnsi="Sakkal Majalla" w:cs="Sakkal Majalla" w:hint="cs"/>
          <w:sz w:val="28"/>
          <w:szCs w:val="28"/>
          <w:rtl/>
        </w:rPr>
        <w:t>معتمدة،</w:t>
      </w:r>
      <w:r w:rsidRPr="00A76206">
        <w:rPr>
          <w:rFonts w:ascii="Sakkal Majalla" w:hAnsi="Sakkal Majalla" w:cs="Sakkal Majalla"/>
          <w:sz w:val="28"/>
          <w:szCs w:val="28"/>
          <w:rtl/>
        </w:rPr>
        <w:t xml:space="preserve"> وبموافقة صاحب </w:t>
      </w:r>
      <w:r w:rsidRPr="00A76206">
        <w:rPr>
          <w:rFonts w:ascii="Sakkal Majalla" w:hAnsi="Sakkal Majalla" w:cs="Sakkal Majalla" w:hint="cs"/>
          <w:sz w:val="28"/>
          <w:szCs w:val="28"/>
          <w:rtl/>
        </w:rPr>
        <w:t>الصلاحية،</w:t>
      </w:r>
      <w:r w:rsidRPr="00A76206">
        <w:rPr>
          <w:rFonts w:ascii="Sakkal Majalla" w:hAnsi="Sakkal Majalla" w:cs="Sakkal Majalla"/>
          <w:sz w:val="28"/>
          <w:szCs w:val="28"/>
          <w:rtl/>
        </w:rPr>
        <w:t xml:space="preserve"> بناء على مبررات تقتضيها مصلحة العمل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4A5B4D7A" w14:textId="403E2CA9" w:rsidR="00A76206" w:rsidRPr="00A76206" w:rsidRDefault="00A76206" w:rsidP="00A76206">
      <w:pPr>
        <w:pStyle w:val="a3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</w:rPr>
      </w:pPr>
      <w:r w:rsidRPr="00A76206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في حال م</w:t>
      </w:r>
      <w:r>
        <w:rPr>
          <w:rFonts w:ascii="Sakkal Majalla" w:hAnsi="Sakkal Majalla" w:cs="Sakkal Majalla" w:hint="cs"/>
          <w:b/>
          <w:bCs/>
          <w:color w:val="1186AB"/>
          <w:sz w:val="28"/>
          <w:szCs w:val="28"/>
          <w:rtl/>
        </w:rPr>
        <w:t>ر</w:t>
      </w:r>
      <w:r w:rsidRPr="00A76206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افقة الزوج للدراسة أو العمل في الخارج، هل يمكن لعضو هيئة التدريس قطع الإجازة والمباشرة بعد انتهاء دراسة أو بعثة الزوج، أم يلزم استكمال الفصل الدراسي كاملاً؟</w:t>
      </w:r>
      <w:r w:rsidRPr="00A76206">
        <w:rPr>
          <w:rFonts w:ascii="Segoe UI" w:hAnsi="Segoe UI" w:cs="Segoe UI"/>
          <w:color w:val="616161"/>
          <w:spacing w:val="-4"/>
          <w:sz w:val="21"/>
          <w:szCs w:val="21"/>
        </w:rPr>
        <w:br/>
      </w:r>
      <w:r w:rsidRPr="00A76206">
        <w:rPr>
          <w:rFonts w:ascii="Sakkal Majalla" w:hAnsi="Sakkal Majalla" w:cs="Sakkal Majalla"/>
          <w:sz w:val="28"/>
          <w:szCs w:val="28"/>
          <w:rtl/>
        </w:rPr>
        <w:t>نعم، يمكن لعضو هيئة التدريس قطع الإجازة والمباشرة، وذلك في حال طلب جهة العمل أو وجود حاجة للمباشرة، وفقاً للأنظمة والتعليمات المعمول بها</w:t>
      </w:r>
    </w:p>
    <w:p w14:paraId="7A2AE328" w14:textId="12E7FB8F" w:rsidR="00D243F4" w:rsidRPr="00571D05" w:rsidRDefault="00D243F4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b/>
          <w:bCs/>
          <w:color w:val="1186AB"/>
          <w:sz w:val="28"/>
          <w:szCs w:val="28"/>
        </w:rPr>
      </w:pPr>
      <w:r w:rsidRPr="00571D05">
        <w:rPr>
          <w:rFonts w:ascii="Sakkal Majalla" w:hAnsi="Sakkal Majalla" w:cs="Sakkal Majalla" w:hint="cs"/>
          <w:b/>
          <w:bCs/>
          <w:color w:val="1186AB"/>
          <w:sz w:val="28"/>
          <w:szCs w:val="28"/>
          <w:rtl/>
        </w:rPr>
        <w:t>ماهي الطريقة الصحيحة للتقديم على حضور مؤتمر علمي</w:t>
      </w: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؟</w:t>
      </w:r>
    </w:p>
    <w:p w14:paraId="3584F95B" w14:textId="670E14D6" w:rsidR="00D243F4" w:rsidRPr="00571D05" w:rsidRDefault="00D243F4" w:rsidP="00571D05">
      <w:pPr>
        <w:pStyle w:val="a3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من خلال التقديم على بوابة الخدمات الإلكترونية </w:t>
      </w:r>
      <w:r w:rsidR="00B33164">
        <w:rPr>
          <w:rFonts w:ascii="Sakkal Majalla" w:hAnsi="Sakkal Majalla" w:cs="Sakkal Majalla" w:hint="cs"/>
          <w:sz w:val="28"/>
          <w:szCs w:val="28"/>
          <w:rtl/>
        </w:rPr>
        <w:t>(حضور مؤتمرات</w:t>
      </w:r>
      <w:r w:rsidR="00B33164">
        <w:rPr>
          <w:rFonts w:ascii="Sakkal Majalla" w:hAnsi="Sakkal Majalla" w:cs="Sakkal Majalla"/>
          <w:sz w:val="28"/>
          <w:szCs w:val="28"/>
        </w:rPr>
        <w:t>&lt;</w:t>
      </w:r>
      <w:r w:rsidR="00B33164">
        <w:rPr>
          <w:rFonts w:ascii="Sakkal Majalla" w:hAnsi="Sakkal Majalla" w:cs="Sakkal Majalla" w:hint="cs"/>
          <w:sz w:val="28"/>
          <w:szCs w:val="28"/>
          <w:rtl/>
        </w:rPr>
        <w:t>تقديم جديد).</w:t>
      </w:r>
    </w:p>
    <w:p w14:paraId="495EDC8B" w14:textId="65C70495" w:rsidR="00D243F4" w:rsidRPr="00571D05" w:rsidRDefault="00B33164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b/>
          <w:bCs/>
          <w:color w:val="1186AB"/>
          <w:sz w:val="28"/>
          <w:szCs w:val="28"/>
        </w:rPr>
      </w:pPr>
      <w:r w:rsidRPr="00571D05">
        <w:rPr>
          <w:rFonts w:ascii="Sakkal Majalla" w:hAnsi="Sakkal Majalla" w:cs="Sakkal Majalla" w:hint="cs"/>
          <w:b/>
          <w:bCs/>
          <w:color w:val="1186AB"/>
          <w:sz w:val="28"/>
          <w:szCs w:val="28"/>
          <w:rtl/>
        </w:rPr>
        <w:t>ماهي الخطوات النظامية للعمل كمستشار غير متفرغ لدى جهات خارج الجامعة</w:t>
      </w:r>
      <w:r w:rsidR="00D243F4"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؟</w:t>
      </w:r>
    </w:p>
    <w:p w14:paraId="3E2D659F" w14:textId="0372287C" w:rsidR="00D243F4" w:rsidRPr="00571D05" w:rsidRDefault="00B33164" w:rsidP="00571D05">
      <w:pPr>
        <w:pStyle w:val="a3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الرفع من المسؤول الأول في الجهة الطالبة الاستعانة بعضو هيئة التدريس كمستشار غير متفرغ إلى سعادة رئيس الجامعة المكلف وأخذ الموافقات اللازمة من المجالس المختصة.</w:t>
      </w:r>
    </w:p>
    <w:p w14:paraId="665713C9" w14:textId="723177EE" w:rsidR="00571D05" w:rsidRPr="00571D05" w:rsidRDefault="002A4C7D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</w:rPr>
      </w:pP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ما مدة صرف مكافأة التميز؟</w:t>
      </w: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تُصرف خلال مدة السنتين حسب الآلية المعتمدة شهريًا بما لا يتجاوز 100% من أول مربوط الدرجة لجميع الأبحاث المعتمدة</w:t>
      </w:r>
      <w:r w:rsidRPr="00571D05">
        <w:rPr>
          <w:rFonts w:ascii="Sakkal Majalla" w:hAnsi="Sakkal Majalla" w:cs="Sakkal Majalla"/>
          <w:sz w:val="28"/>
          <w:szCs w:val="28"/>
        </w:rPr>
        <w:t>.</w:t>
      </w:r>
    </w:p>
    <w:p w14:paraId="0A8E9195" w14:textId="77777777" w:rsidR="00571D05" w:rsidRPr="00571D05" w:rsidRDefault="002A4C7D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</w:rPr>
      </w:pP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هل تُعد مكافأة التميز بدلًا ثابتًا؟</w:t>
      </w:r>
      <w:r w:rsidRPr="00571D05">
        <w:rPr>
          <w:rFonts w:ascii="Segoe UI" w:hAnsi="Segoe UI" w:cs="Segoe UI"/>
          <w:color w:val="616161"/>
          <w:spacing w:val="-4"/>
          <w:sz w:val="21"/>
          <w:szCs w:val="21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تُعد مكافأة مرتبطة بمدة زمنية محددة (سنتين)، وليست بدلًا دائمًا مستمرًا</w:t>
      </w:r>
      <w:r w:rsidRPr="00571D05">
        <w:rPr>
          <w:rFonts w:ascii="Sakkal Majalla" w:hAnsi="Sakkal Majalla" w:cs="Sakkal Majalla"/>
          <w:sz w:val="28"/>
          <w:szCs w:val="28"/>
        </w:rPr>
        <w:t>.</w:t>
      </w:r>
    </w:p>
    <w:p w14:paraId="2AFCA16B" w14:textId="77777777" w:rsidR="00571D05" w:rsidRPr="00571D05" w:rsidRDefault="002A4C7D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</w:rPr>
      </w:pP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هل تتوقف مكافأة التميز خلال الإجازات أو الإعارة؟</w:t>
      </w:r>
      <w:r w:rsidRPr="00571D05">
        <w:rPr>
          <w:rFonts w:ascii="Segoe UI" w:hAnsi="Segoe UI" w:cs="Segoe UI"/>
          <w:color w:val="616161"/>
          <w:spacing w:val="-4"/>
          <w:sz w:val="21"/>
          <w:szCs w:val="21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تخضع لإيقاف أو تعليق الصرف وفق الأنظمة المعمول بها ونوع الإجازة أو الإعارة</w:t>
      </w:r>
      <w:r w:rsidRPr="00571D05">
        <w:rPr>
          <w:rFonts w:ascii="Segoe UI" w:hAnsi="Segoe UI" w:cs="Segoe UI"/>
          <w:color w:val="616161"/>
          <w:spacing w:val="-4"/>
          <w:sz w:val="21"/>
          <w:szCs w:val="21"/>
          <w:shd w:val="clear" w:color="auto" w:fill="F5F5F5"/>
        </w:rPr>
        <w:t>.</w:t>
      </w:r>
    </w:p>
    <w:p w14:paraId="5F0481EB" w14:textId="77777777" w:rsidR="00571D05" w:rsidRPr="00571D05" w:rsidRDefault="002A4C7D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</w:rPr>
      </w:pP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lastRenderedPageBreak/>
        <w:t>متى أستحق مكافأة الساعات الزائدة وما قيمتها؟</w:t>
      </w:r>
      <w:r w:rsidRPr="00571D05">
        <w:rPr>
          <w:rFonts w:ascii="Segoe UI" w:hAnsi="Segoe UI" w:cs="Segoe UI"/>
          <w:color w:val="616161"/>
          <w:spacing w:val="-4"/>
          <w:sz w:val="21"/>
          <w:szCs w:val="21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مكافأة الساعات الزائدة عند تجاوز النصاب التدريسي المعتمد وتكون قيمة الساعة الواحدة 150 ريال</w:t>
      </w:r>
      <w:r w:rsidRPr="00571D05">
        <w:rPr>
          <w:rFonts w:ascii="Sakkal Majalla" w:hAnsi="Sakkal Majalla" w:cs="Sakkal Majalla"/>
          <w:sz w:val="28"/>
          <w:szCs w:val="28"/>
        </w:rPr>
        <w:t>.</w:t>
      </w:r>
    </w:p>
    <w:p w14:paraId="51D6F62F" w14:textId="25CCA8A4" w:rsidR="00571D05" w:rsidRPr="00A76206" w:rsidRDefault="002A4C7D" w:rsidP="00A76206">
      <w:pPr>
        <w:pStyle w:val="a3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</w:rPr>
      </w:pP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متى تُصرف مكافأة الساعات الزائدة؟</w:t>
      </w:r>
      <w:r w:rsidRPr="00571D05">
        <w:rPr>
          <w:rFonts w:ascii="Segoe UI" w:hAnsi="Segoe UI" w:cs="Segoe UI"/>
          <w:color w:val="616161"/>
          <w:spacing w:val="-4"/>
          <w:sz w:val="21"/>
          <w:szCs w:val="21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تُصرف مكافأة الساعات الزائدة بعد اعتماد الساعات رسميًا من القسم والكلية، ثم إدخالها في النظام من الجهة المختصة</w:t>
      </w:r>
      <w:r w:rsidR="00571D05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5EAA7464" w14:textId="29139226" w:rsidR="002A4C7D" w:rsidRPr="00571D05" w:rsidRDefault="002A4C7D" w:rsidP="00571D05">
      <w:pPr>
        <w:pStyle w:val="a3"/>
        <w:numPr>
          <w:ilvl w:val="0"/>
          <w:numId w:val="2"/>
        </w:numPr>
        <w:rPr>
          <w:rFonts w:ascii="Sakkal Majalla" w:hAnsi="Sakkal Majalla" w:cs="Sakkal Majalla"/>
          <w:sz w:val="28"/>
          <w:szCs w:val="28"/>
        </w:rPr>
      </w:pPr>
      <w:r w:rsidRPr="00571D05">
        <w:rPr>
          <w:rFonts w:ascii="Sakkal Majalla" w:hAnsi="Sakkal Majalla" w:cs="Sakkal Majalla"/>
          <w:b/>
          <w:bCs/>
          <w:color w:val="1186AB"/>
          <w:sz w:val="28"/>
          <w:szCs w:val="28"/>
          <w:rtl/>
        </w:rPr>
        <w:t>ما نصاب الوحدات التدريسية لكل رتبة؟</w:t>
      </w:r>
      <w:r w:rsidRPr="00571D05">
        <w:rPr>
          <w:rFonts w:ascii="Sakkal Majalla" w:hAnsi="Sakkal Majalla" w:cs="Sakkal Majalla"/>
          <w:sz w:val="28"/>
          <w:szCs w:val="28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يكون نصاب الوحدات التدريسية كالتالي</w:t>
      </w:r>
      <w:r w:rsidRPr="00571D05">
        <w:rPr>
          <w:rFonts w:ascii="Sakkal Majalla" w:hAnsi="Sakkal Majalla" w:cs="Sakkal Majalla"/>
          <w:sz w:val="28"/>
          <w:szCs w:val="28"/>
        </w:rPr>
        <w:t>:</w:t>
      </w:r>
      <w:r w:rsidRPr="00571D05">
        <w:rPr>
          <w:rFonts w:ascii="Sakkal Majalla" w:hAnsi="Sakkal Majalla" w:cs="Sakkal Majalla"/>
          <w:sz w:val="28"/>
          <w:szCs w:val="28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أستاذ: 10 وحدات</w:t>
      </w:r>
      <w:r w:rsidRPr="00571D05">
        <w:rPr>
          <w:rFonts w:ascii="Segoe UI" w:hAnsi="Segoe UI" w:cs="Segoe UI"/>
          <w:color w:val="616161"/>
          <w:spacing w:val="-4"/>
          <w:sz w:val="21"/>
          <w:szCs w:val="21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أستاذ مشارك: 12 وحدة</w:t>
      </w:r>
      <w:r w:rsidRPr="00571D05">
        <w:rPr>
          <w:rFonts w:ascii="Sakkal Majalla" w:hAnsi="Sakkal Majalla" w:cs="Sakkal Majalla"/>
          <w:sz w:val="28"/>
          <w:szCs w:val="28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أستاذ مساعد: 14 وحدة</w:t>
      </w:r>
      <w:r w:rsidRPr="00571D05">
        <w:rPr>
          <w:rFonts w:ascii="Sakkal Majalla" w:hAnsi="Sakkal Majalla" w:cs="Sakkal Majalla"/>
          <w:sz w:val="28"/>
          <w:szCs w:val="28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محاضر ومعيد: 16 وحدة</w:t>
      </w:r>
      <w:r w:rsidRPr="00571D05">
        <w:rPr>
          <w:rFonts w:ascii="Sakkal Majalla" w:hAnsi="Sakkal Majalla" w:cs="Sakkal Majalla"/>
          <w:sz w:val="28"/>
          <w:szCs w:val="28"/>
        </w:rPr>
        <w:br/>
      </w:r>
      <w:r w:rsidRPr="00571D05">
        <w:rPr>
          <w:rFonts w:ascii="Sakkal Majalla" w:hAnsi="Sakkal Majalla" w:cs="Sakkal Majalla"/>
          <w:sz w:val="28"/>
          <w:szCs w:val="28"/>
          <w:rtl/>
        </w:rPr>
        <w:t>ويُعد ما يزيد على هذا النصاب ساعات زائدة تُستحق عنها مكافأة وفق الأنظمة المعمول بها</w:t>
      </w:r>
      <w:r w:rsidRPr="00571D05">
        <w:rPr>
          <w:rFonts w:ascii="Sakkal Majalla" w:hAnsi="Sakkal Majalla" w:cs="Sakkal Majalla"/>
          <w:sz w:val="28"/>
          <w:szCs w:val="28"/>
        </w:rPr>
        <w:t>.</w:t>
      </w:r>
    </w:p>
    <w:p w14:paraId="2B7C7FDA" w14:textId="77777777" w:rsidR="00175C5D" w:rsidRDefault="00175C5D"/>
    <w:sectPr w:rsidR="00175C5D" w:rsidSect="00BE50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7E64" w14:textId="77777777" w:rsidR="00436F8E" w:rsidRDefault="00436F8E" w:rsidP="00FB4875">
      <w:pPr>
        <w:spacing w:after="0" w:line="240" w:lineRule="auto"/>
      </w:pPr>
      <w:r>
        <w:separator/>
      </w:r>
    </w:p>
  </w:endnote>
  <w:endnote w:type="continuationSeparator" w:id="0">
    <w:p w14:paraId="2173EA54" w14:textId="77777777" w:rsidR="00436F8E" w:rsidRDefault="00436F8E" w:rsidP="00FB4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5FE06" w14:textId="77777777" w:rsidR="00436F8E" w:rsidRDefault="00436F8E" w:rsidP="00FB4875">
      <w:pPr>
        <w:spacing w:after="0" w:line="240" w:lineRule="auto"/>
      </w:pPr>
      <w:r>
        <w:separator/>
      </w:r>
    </w:p>
  </w:footnote>
  <w:footnote w:type="continuationSeparator" w:id="0">
    <w:p w14:paraId="7ADF33A9" w14:textId="77777777" w:rsidR="00436F8E" w:rsidRDefault="00436F8E" w:rsidP="00FB4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1076A"/>
    <w:multiLevelType w:val="hybridMultilevel"/>
    <w:tmpl w:val="9788AFA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5B9BD5" w:themeColor="accent5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631572E"/>
    <w:multiLevelType w:val="hybridMultilevel"/>
    <w:tmpl w:val="4860F72E"/>
    <w:lvl w:ilvl="0" w:tplc="4C303CA6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b/>
        <w:bCs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355220">
    <w:abstractNumId w:val="1"/>
  </w:num>
  <w:num w:numId="2" w16cid:durableId="74010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F4"/>
    <w:rsid w:val="00175C5D"/>
    <w:rsid w:val="00283274"/>
    <w:rsid w:val="002A4C7D"/>
    <w:rsid w:val="003649E4"/>
    <w:rsid w:val="003C4BF1"/>
    <w:rsid w:val="003D424C"/>
    <w:rsid w:val="00436F8E"/>
    <w:rsid w:val="00571D05"/>
    <w:rsid w:val="00A76206"/>
    <w:rsid w:val="00B33164"/>
    <w:rsid w:val="00BE50C0"/>
    <w:rsid w:val="00D243F4"/>
    <w:rsid w:val="00FB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6DEEA"/>
  <w15:chartTrackingRefBased/>
  <w15:docId w15:val="{4CAC3D2F-8C25-4292-A048-22579B9E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3F4"/>
    <w:pPr>
      <w:bidi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3F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B48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B4875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FB48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B487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Areej Faisal Almogren</dc:creator>
  <cp:keywords/>
  <dc:description/>
  <cp:lastModifiedBy>sarah alsaeed</cp:lastModifiedBy>
  <cp:revision>2</cp:revision>
  <cp:lastPrinted>2026-05-04T11:19:00Z</cp:lastPrinted>
  <dcterms:created xsi:type="dcterms:W3CDTF">2026-05-05T07:36:00Z</dcterms:created>
  <dcterms:modified xsi:type="dcterms:W3CDTF">2026-05-05T07:36:00Z</dcterms:modified>
</cp:coreProperties>
</file>